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C4" w:rsidRPr="004300E3" w:rsidRDefault="0098103D" w:rsidP="0098103D">
      <w:pPr>
        <w:jc w:val="center"/>
        <w:rPr>
          <w:b/>
          <w:color w:val="154578"/>
          <w:sz w:val="28"/>
          <w:szCs w:val="28"/>
        </w:rPr>
      </w:pPr>
      <w:bookmarkStart w:id="0" w:name="_GoBack"/>
      <w:bookmarkEnd w:id="0"/>
      <w:r w:rsidRPr="004300E3">
        <w:rPr>
          <w:b/>
          <w:noProof/>
          <w:color w:val="154578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982527" wp14:editId="05D6094F">
            <wp:simplePos x="0" y="0"/>
            <wp:positionH relativeFrom="column">
              <wp:posOffset>85725</wp:posOffset>
            </wp:positionH>
            <wp:positionV relativeFrom="paragraph">
              <wp:posOffset>-304800</wp:posOffset>
            </wp:positionV>
            <wp:extent cx="1343025" cy="91376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y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0E3">
        <w:rPr>
          <w:b/>
          <w:color w:val="154578"/>
          <w:sz w:val="28"/>
          <w:szCs w:val="28"/>
        </w:rPr>
        <w:t>Stakeholder Engagement</w:t>
      </w:r>
    </w:p>
    <w:p w:rsidR="0098103D" w:rsidRDefault="005766BD" w:rsidP="0098103D">
      <w:pPr>
        <w:jc w:val="center"/>
        <w:rPr>
          <w:b/>
          <w:color w:val="154578"/>
          <w:sz w:val="32"/>
          <w:szCs w:val="32"/>
        </w:rPr>
      </w:pPr>
      <w:r>
        <w:rPr>
          <w:b/>
          <w:color w:val="154578"/>
          <w:sz w:val="28"/>
          <w:szCs w:val="28"/>
        </w:rPr>
        <w:t>Resource Review</w:t>
      </w:r>
    </w:p>
    <w:p w:rsidR="0098103D" w:rsidRDefault="0098103D" w:rsidP="0098103D">
      <w:pPr>
        <w:jc w:val="center"/>
        <w:rPr>
          <w:b/>
          <w:color w:val="154578"/>
          <w:sz w:val="32"/>
          <w:szCs w:val="32"/>
        </w:rPr>
      </w:pPr>
    </w:p>
    <w:p w:rsidR="00B015CF" w:rsidRDefault="00B015CF" w:rsidP="005766BD"/>
    <w:p w:rsidR="00B015CF" w:rsidRDefault="00B015CF" w:rsidP="005766BD">
      <w:r>
        <w:t>DESCRIPTION</w:t>
      </w:r>
    </w:p>
    <w:p w:rsidR="0098103D" w:rsidRPr="004300E3" w:rsidRDefault="005766BD" w:rsidP="005766BD">
      <w:pPr>
        <w:rPr>
          <w:sz w:val="24"/>
          <w:szCs w:val="24"/>
        </w:rPr>
      </w:pPr>
      <w:r>
        <w:t>This chart is designed to support a review of the resources provided. It is a way to organize information available in each resource for future reference and use.</w:t>
      </w:r>
    </w:p>
    <w:p w:rsidR="00B015CF" w:rsidRDefault="00B015CF" w:rsidP="0098103D">
      <w:pPr>
        <w:rPr>
          <w:color w:val="154578"/>
          <w:sz w:val="24"/>
          <w:szCs w:val="24"/>
        </w:rPr>
      </w:pPr>
    </w:p>
    <w:tbl>
      <w:tblPr>
        <w:tblStyle w:val="TableGrid"/>
        <w:tblW w:w="10698" w:type="dxa"/>
        <w:tblInd w:w="-162" w:type="dxa"/>
        <w:tblLook w:val="04A0" w:firstRow="1" w:lastRow="0" w:firstColumn="1" w:lastColumn="0" w:noHBand="0" w:noVBand="1"/>
      </w:tblPr>
      <w:tblGrid>
        <w:gridCol w:w="3240"/>
        <w:gridCol w:w="3134"/>
        <w:gridCol w:w="1816"/>
        <w:gridCol w:w="2508"/>
      </w:tblGrid>
      <w:tr w:rsidR="00B015CF" w:rsidTr="00067354">
        <w:trPr>
          <w:trHeight w:val="773"/>
        </w:trPr>
        <w:tc>
          <w:tcPr>
            <w:tcW w:w="3240" w:type="dxa"/>
            <w:vAlign w:val="center"/>
          </w:tcPr>
          <w:p w:rsidR="00B015CF" w:rsidRDefault="00B015CF" w:rsidP="00B015CF">
            <w:pPr>
              <w:jc w:val="center"/>
              <w:rPr>
                <w:color w:val="154578"/>
                <w:sz w:val="24"/>
                <w:szCs w:val="24"/>
              </w:rPr>
            </w:pPr>
            <w:r>
              <w:rPr>
                <w:color w:val="154578"/>
                <w:sz w:val="24"/>
                <w:szCs w:val="24"/>
              </w:rPr>
              <w:t>RESOURCE</w:t>
            </w:r>
          </w:p>
        </w:tc>
        <w:tc>
          <w:tcPr>
            <w:tcW w:w="3134" w:type="dxa"/>
            <w:vAlign w:val="center"/>
          </w:tcPr>
          <w:p w:rsidR="00B015CF" w:rsidRDefault="00B015CF" w:rsidP="00B015CF">
            <w:pPr>
              <w:jc w:val="center"/>
              <w:rPr>
                <w:color w:val="154578"/>
                <w:sz w:val="24"/>
                <w:szCs w:val="24"/>
              </w:rPr>
            </w:pPr>
            <w:r>
              <w:rPr>
                <w:color w:val="154578"/>
                <w:sz w:val="24"/>
                <w:szCs w:val="24"/>
              </w:rPr>
              <w:t>HELPFUL INFORMATION AVAILABLE IN THIS RESOURCE</w:t>
            </w:r>
          </w:p>
        </w:tc>
        <w:tc>
          <w:tcPr>
            <w:tcW w:w="1816" w:type="dxa"/>
            <w:vAlign w:val="center"/>
          </w:tcPr>
          <w:p w:rsidR="00B015CF" w:rsidRDefault="00B015CF" w:rsidP="00B015CF">
            <w:pPr>
              <w:jc w:val="center"/>
              <w:rPr>
                <w:color w:val="154578"/>
                <w:sz w:val="24"/>
                <w:szCs w:val="24"/>
              </w:rPr>
            </w:pPr>
            <w:r>
              <w:rPr>
                <w:color w:val="154578"/>
                <w:sz w:val="24"/>
                <w:szCs w:val="24"/>
              </w:rPr>
              <w:t>PAGES TO REVIEW/REVISIT</w:t>
            </w:r>
          </w:p>
        </w:tc>
        <w:tc>
          <w:tcPr>
            <w:tcW w:w="2508" w:type="dxa"/>
            <w:vAlign w:val="center"/>
          </w:tcPr>
          <w:p w:rsidR="00B015CF" w:rsidRDefault="00B015CF" w:rsidP="00B015CF">
            <w:pPr>
              <w:jc w:val="center"/>
              <w:rPr>
                <w:color w:val="154578"/>
                <w:sz w:val="24"/>
                <w:szCs w:val="24"/>
              </w:rPr>
            </w:pPr>
            <w:r>
              <w:rPr>
                <w:color w:val="154578"/>
                <w:sz w:val="24"/>
                <w:szCs w:val="24"/>
              </w:rPr>
              <w:t>POSSIBLE USES OF THIS INFORMATION</w:t>
            </w:r>
          </w:p>
        </w:tc>
      </w:tr>
      <w:tr w:rsidR="00CA24DA" w:rsidTr="00067354">
        <w:trPr>
          <w:trHeight w:val="1217"/>
        </w:trPr>
        <w:tc>
          <w:tcPr>
            <w:tcW w:w="3240" w:type="dxa"/>
          </w:tcPr>
          <w:p w:rsidR="00CA24DA" w:rsidRPr="00B015CF" w:rsidRDefault="003E3534" w:rsidP="00CA24DA">
            <w:pPr>
              <w:shd w:val="clear" w:color="auto" w:fill="FFFFFF"/>
              <w:spacing w:before="60" w:after="60"/>
              <w:rPr>
                <w:rFonts w:eastAsia="Times New Roman" w:cs="Times New Roman"/>
                <w:color w:val="333333"/>
              </w:rPr>
            </w:pPr>
            <w:hyperlink r:id="rId7" w:tgtFrame="_blank" w:history="1">
              <w:r w:rsidR="00CA24DA" w:rsidRPr="00B015CF">
                <w:rPr>
                  <w:rFonts w:eastAsia="Times New Roman" w:cs="Times New Roman"/>
                  <w:color w:val="1585CB"/>
                </w:rPr>
                <w:t>Internal Stakeholder Engagement Workshop Toolkit</w:t>
              </w:r>
            </w:hyperlink>
          </w:p>
          <w:p w:rsidR="00CA24DA" w:rsidRDefault="00CA24DA" w:rsidP="00067354">
            <w:pPr>
              <w:shd w:val="clear" w:color="auto" w:fill="FFFFFF"/>
              <w:spacing w:before="60" w:after="60"/>
              <w:ind w:left="180"/>
            </w:pPr>
            <w:r w:rsidRPr="0016665D">
              <w:rPr>
                <w:rFonts w:eastAsia="Times New Roman" w:cs="Times New Roman"/>
                <w:color w:val="333333"/>
              </w:rPr>
              <w:t>D</w:t>
            </w:r>
            <w:r w:rsidRPr="00B015CF">
              <w:rPr>
                <w:rFonts w:eastAsia="Times New Roman" w:cs="Times New Roman"/>
                <w:color w:val="333333"/>
              </w:rPr>
              <w:t xml:space="preserve">escribes principles of effective stakeholder </w:t>
            </w:r>
            <w:r>
              <w:rPr>
                <w:rFonts w:eastAsia="Times New Roman" w:cs="Times New Roman"/>
                <w:color w:val="333333"/>
              </w:rPr>
              <w:t>engagemen</w:t>
            </w:r>
            <w:r w:rsidRPr="00B015CF">
              <w:rPr>
                <w:rFonts w:eastAsia="Times New Roman" w:cs="Times New Roman"/>
                <w:color w:val="333333"/>
              </w:rPr>
              <w:t>t, as well as strategies and techniques for creating productive collaborative environments for dialogue and problem solving.</w:t>
            </w:r>
          </w:p>
        </w:tc>
        <w:tc>
          <w:tcPr>
            <w:tcW w:w="3134" w:type="dxa"/>
          </w:tcPr>
          <w:p w:rsidR="00CA24DA" w:rsidRDefault="00CA24DA" w:rsidP="00B015CF">
            <w:pPr>
              <w:spacing w:before="60" w:after="60"/>
              <w:rPr>
                <w:color w:val="154578"/>
                <w:sz w:val="24"/>
                <w:szCs w:val="24"/>
              </w:rPr>
            </w:pPr>
          </w:p>
        </w:tc>
        <w:tc>
          <w:tcPr>
            <w:tcW w:w="1816" w:type="dxa"/>
          </w:tcPr>
          <w:p w:rsidR="00CA24DA" w:rsidRDefault="00CA24DA" w:rsidP="00B015CF">
            <w:pPr>
              <w:spacing w:before="60" w:after="60"/>
              <w:rPr>
                <w:color w:val="154578"/>
                <w:sz w:val="24"/>
                <w:szCs w:val="24"/>
              </w:rPr>
            </w:pPr>
          </w:p>
        </w:tc>
        <w:tc>
          <w:tcPr>
            <w:tcW w:w="2508" w:type="dxa"/>
          </w:tcPr>
          <w:p w:rsidR="00CA24DA" w:rsidRDefault="00CA24DA" w:rsidP="00B015CF">
            <w:pPr>
              <w:spacing w:before="60" w:after="60"/>
              <w:rPr>
                <w:color w:val="154578"/>
                <w:sz w:val="24"/>
                <w:szCs w:val="24"/>
              </w:rPr>
            </w:pPr>
          </w:p>
        </w:tc>
      </w:tr>
      <w:tr w:rsidR="00B015CF" w:rsidTr="00067354">
        <w:trPr>
          <w:trHeight w:val="1217"/>
        </w:trPr>
        <w:tc>
          <w:tcPr>
            <w:tcW w:w="3240" w:type="dxa"/>
          </w:tcPr>
          <w:p w:rsidR="00B015CF" w:rsidRPr="0016665D" w:rsidRDefault="003E3534" w:rsidP="00B015CF">
            <w:pPr>
              <w:shd w:val="clear" w:color="auto" w:fill="FFFFFF"/>
              <w:spacing w:before="60" w:after="60"/>
              <w:rPr>
                <w:rFonts w:eastAsia="Times New Roman" w:cs="Times New Roman"/>
                <w:color w:val="333333"/>
              </w:rPr>
            </w:pPr>
            <w:hyperlink r:id="rId8" w:tgtFrame="_blank" w:history="1">
              <w:r w:rsidR="00B015CF" w:rsidRPr="0016665D">
                <w:rPr>
                  <w:rFonts w:eastAsia="Times New Roman" w:cs="Times New Roman"/>
                  <w:color w:val="1585CB"/>
                </w:rPr>
                <w:t>Brownfield Stakeholder Engagement: A Toolkit</w:t>
              </w:r>
            </w:hyperlink>
          </w:p>
          <w:p w:rsidR="00B015CF" w:rsidRPr="0016665D" w:rsidRDefault="00B015CF" w:rsidP="00BE27DF">
            <w:pPr>
              <w:shd w:val="clear" w:color="auto" w:fill="FFFFFF"/>
              <w:spacing w:before="60" w:after="60"/>
              <w:ind w:left="180"/>
              <w:rPr>
                <w:rFonts w:eastAsia="Times New Roman" w:cs="Times New Roman"/>
                <w:color w:val="333333"/>
              </w:rPr>
            </w:pPr>
            <w:r w:rsidRPr="0016665D">
              <w:rPr>
                <w:rFonts w:eastAsia="Times New Roman" w:cs="Times New Roman"/>
                <w:color w:val="333333"/>
              </w:rPr>
              <w:t xml:space="preserve">Provides easy-to-understand definitions, process steps, and resources related to stakeholder </w:t>
            </w:r>
            <w:r w:rsidR="00BE27DF">
              <w:rPr>
                <w:rFonts w:eastAsia="Times New Roman" w:cs="Times New Roman"/>
                <w:color w:val="333333"/>
              </w:rPr>
              <w:t>engagement</w:t>
            </w:r>
            <w:r w:rsidRPr="0016665D">
              <w:rPr>
                <w:rFonts w:eastAsia="Times New Roman" w:cs="Times New Roman"/>
                <w:color w:val="333333"/>
              </w:rPr>
              <w:t>. An applicable evaluation matrix is also provided.</w:t>
            </w:r>
          </w:p>
        </w:tc>
        <w:tc>
          <w:tcPr>
            <w:tcW w:w="3134" w:type="dxa"/>
          </w:tcPr>
          <w:p w:rsidR="00B015CF" w:rsidRDefault="00B015CF" w:rsidP="00B015CF">
            <w:pPr>
              <w:spacing w:before="60" w:after="60"/>
              <w:rPr>
                <w:color w:val="154578"/>
                <w:sz w:val="24"/>
                <w:szCs w:val="24"/>
              </w:rPr>
            </w:pPr>
          </w:p>
        </w:tc>
        <w:tc>
          <w:tcPr>
            <w:tcW w:w="1816" w:type="dxa"/>
          </w:tcPr>
          <w:p w:rsidR="00B015CF" w:rsidRDefault="00B015CF" w:rsidP="00B015CF">
            <w:pPr>
              <w:spacing w:before="60" w:after="60"/>
              <w:rPr>
                <w:color w:val="154578"/>
                <w:sz w:val="24"/>
                <w:szCs w:val="24"/>
              </w:rPr>
            </w:pPr>
          </w:p>
        </w:tc>
        <w:tc>
          <w:tcPr>
            <w:tcW w:w="2508" w:type="dxa"/>
          </w:tcPr>
          <w:p w:rsidR="00B015CF" w:rsidRDefault="00B015CF" w:rsidP="00B015CF">
            <w:pPr>
              <w:spacing w:before="60" w:after="60"/>
              <w:rPr>
                <w:color w:val="154578"/>
                <w:sz w:val="24"/>
                <w:szCs w:val="24"/>
              </w:rPr>
            </w:pPr>
          </w:p>
        </w:tc>
      </w:tr>
      <w:tr w:rsidR="00B015CF" w:rsidTr="00067354">
        <w:trPr>
          <w:trHeight w:val="1281"/>
        </w:trPr>
        <w:tc>
          <w:tcPr>
            <w:tcW w:w="3240" w:type="dxa"/>
          </w:tcPr>
          <w:p w:rsidR="00B015CF" w:rsidRPr="00B015CF" w:rsidRDefault="003E3534" w:rsidP="0016665D">
            <w:pPr>
              <w:shd w:val="clear" w:color="auto" w:fill="FFFFFF"/>
              <w:spacing w:before="60" w:after="60"/>
              <w:rPr>
                <w:rFonts w:eastAsia="Times New Roman" w:cs="Times New Roman"/>
                <w:color w:val="333333"/>
              </w:rPr>
            </w:pPr>
            <w:hyperlink r:id="rId9" w:tgtFrame="_blank" w:history="1">
              <w:r w:rsidR="00B015CF" w:rsidRPr="00B015CF">
                <w:rPr>
                  <w:rFonts w:eastAsia="Times New Roman" w:cs="Times New Roman"/>
                  <w:color w:val="1585CB"/>
                </w:rPr>
                <w:t>Meeting the Challenges of Stakeholder Engagement and Communication: Lessons from Teacher Incentive Fund Grantees</w:t>
              </w:r>
            </w:hyperlink>
          </w:p>
          <w:p w:rsidR="00B015CF" w:rsidRPr="0016665D" w:rsidRDefault="00B015CF" w:rsidP="00BE27DF">
            <w:pPr>
              <w:shd w:val="clear" w:color="auto" w:fill="FFFFFF"/>
              <w:spacing w:before="60" w:after="60"/>
              <w:ind w:left="180"/>
              <w:rPr>
                <w:rFonts w:eastAsia="Times New Roman" w:cs="Times New Roman"/>
                <w:color w:val="333333"/>
              </w:rPr>
            </w:pPr>
            <w:r w:rsidRPr="00B015CF">
              <w:rPr>
                <w:rFonts w:eastAsia="Times New Roman" w:cs="Times New Roman"/>
                <w:color w:val="333333"/>
              </w:rPr>
              <w:t xml:space="preserve">Key concepts related to stakeholder </w:t>
            </w:r>
            <w:r w:rsidR="00BE27DF">
              <w:rPr>
                <w:rFonts w:eastAsia="Times New Roman" w:cs="Times New Roman"/>
                <w:color w:val="333333"/>
              </w:rPr>
              <w:t>engagement</w:t>
            </w:r>
            <w:r w:rsidRPr="00B015CF">
              <w:rPr>
                <w:rFonts w:eastAsia="Times New Roman" w:cs="Times New Roman"/>
                <w:color w:val="333333"/>
              </w:rPr>
              <w:t xml:space="preserve"> are embedded in this resource from the Center for Educator Compensation Reform (CECR). The concepts and involvement process descriptions are applicable to any content area or line of work.</w:t>
            </w:r>
          </w:p>
        </w:tc>
        <w:tc>
          <w:tcPr>
            <w:tcW w:w="3134" w:type="dxa"/>
          </w:tcPr>
          <w:p w:rsidR="00B015CF" w:rsidRDefault="00B015CF" w:rsidP="00B015CF">
            <w:pPr>
              <w:spacing w:before="60" w:after="60"/>
              <w:rPr>
                <w:color w:val="154578"/>
                <w:sz w:val="24"/>
                <w:szCs w:val="24"/>
              </w:rPr>
            </w:pPr>
          </w:p>
        </w:tc>
        <w:tc>
          <w:tcPr>
            <w:tcW w:w="1816" w:type="dxa"/>
          </w:tcPr>
          <w:p w:rsidR="00B015CF" w:rsidRDefault="00B015CF" w:rsidP="00B015CF">
            <w:pPr>
              <w:spacing w:before="60" w:after="60"/>
              <w:rPr>
                <w:color w:val="154578"/>
                <w:sz w:val="24"/>
                <w:szCs w:val="24"/>
              </w:rPr>
            </w:pPr>
          </w:p>
        </w:tc>
        <w:tc>
          <w:tcPr>
            <w:tcW w:w="2508" w:type="dxa"/>
          </w:tcPr>
          <w:p w:rsidR="00B015CF" w:rsidRDefault="00B015CF" w:rsidP="00B015CF">
            <w:pPr>
              <w:spacing w:before="60" w:after="60"/>
              <w:rPr>
                <w:color w:val="154578"/>
                <w:sz w:val="24"/>
                <w:szCs w:val="24"/>
              </w:rPr>
            </w:pPr>
          </w:p>
        </w:tc>
      </w:tr>
    </w:tbl>
    <w:p w:rsidR="00B015CF" w:rsidRPr="004300E3" w:rsidRDefault="00B015CF" w:rsidP="0098103D">
      <w:pPr>
        <w:rPr>
          <w:color w:val="154578"/>
          <w:sz w:val="24"/>
          <w:szCs w:val="24"/>
        </w:rPr>
      </w:pPr>
    </w:p>
    <w:sectPr w:rsidR="00B015CF" w:rsidRPr="004300E3" w:rsidSect="0014745C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1F1"/>
    <w:multiLevelType w:val="multilevel"/>
    <w:tmpl w:val="3B68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A35CF"/>
    <w:multiLevelType w:val="hybridMultilevel"/>
    <w:tmpl w:val="F25EB036"/>
    <w:lvl w:ilvl="0" w:tplc="A30C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">
    <w:nsid w:val="4BAE1E7C"/>
    <w:multiLevelType w:val="multilevel"/>
    <w:tmpl w:val="82D8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92A21"/>
    <w:multiLevelType w:val="hybridMultilevel"/>
    <w:tmpl w:val="B7C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902C1"/>
    <w:multiLevelType w:val="multilevel"/>
    <w:tmpl w:val="ADF8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63A33"/>
    <w:multiLevelType w:val="hybridMultilevel"/>
    <w:tmpl w:val="119AB27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6">
    <w:nsid w:val="720B4F29"/>
    <w:multiLevelType w:val="hybridMultilevel"/>
    <w:tmpl w:val="364A35F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E7EC1"/>
    <w:multiLevelType w:val="hybridMultilevel"/>
    <w:tmpl w:val="EA58DE50"/>
    <w:lvl w:ilvl="0" w:tplc="1A383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3D"/>
    <w:rsid w:val="00040E4E"/>
    <w:rsid w:val="00067354"/>
    <w:rsid w:val="0014745C"/>
    <w:rsid w:val="0016665D"/>
    <w:rsid w:val="002737FD"/>
    <w:rsid w:val="003D2500"/>
    <w:rsid w:val="003E3534"/>
    <w:rsid w:val="004300E3"/>
    <w:rsid w:val="005766BD"/>
    <w:rsid w:val="008E0A19"/>
    <w:rsid w:val="0098103D"/>
    <w:rsid w:val="00AF79AF"/>
    <w:rsid w:val="00B015CF"/>
    <w:rsid w:val="00B50BBA"/>
    <w:rsid w:val="00BE27DF"/>
    <w:rsid w:val="00C00887"/>
    <w:rsid w:val="00C06FC4"/>
    <w:rsid w:val="00CA24DA"/>
    <w:rsid w:val="00C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7FD"/>
    <w:pPr>
      <w:ind w:left="720"/>
      <w:contextualSpacing/>
    </w:pPr>
  </w:style>
  <w:style w:type="table" w:styleId="TableGrid">
    <w:name w:val="Table Grid"/>
    <w:basedOn w:val="TableNormal"/>
    <w:uiPriority w:val="59"/>
    <w:rsid w:val="00B0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7FD"/>
    <w:pPr>
      <w:ind w:left="720"/>
      <w:contextualSpacing/>
    </w:pPr>
  </w:style>
  <w:style w:type="table" w:styleId="TableGrid">
    <w:name w:val="Table Grid"/>
    <w:basedOn w:val="TableNormal"/>
    <w:uiPriority w:val="59"/>
    <w:rsid w:val="00B0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DDDDD"/>
                <w:bottom w:val="none" w:sz="0" w:space="0" w:color="auto"/>
                <w:right w:val="single" w:sz="6" w:space="15" w:color="DDDDDD"/>
              </w:divBdr>
              <w:divsChild>
                <w:div w:id="1603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5" w:color="999999"/>
                    <w:right w:val="none" w:sz="0" w:space="0" w:color="auto"/>
                  </w:divBdr>
                  <w:divsChild>
                    <w:div w:id="696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39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dotted" w:sz="6" w:space="8" w:color="C9E0EE"/>
                            <w:left w:val="dotted" w:sz="6" w:space="8" w:color="C9E0EE"/>
                            <w:bottom w:val="dotted" w:sz="6" w:space="8" w:color="C9E0EE"/>
                            <w:right w:val="dotted" w:sz="6" w:space="8" w:color="C9E0EE"/>
                          </w:divBdr>
                          <w:divsChild>
                            <w:div w:id="2981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101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351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76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919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7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92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433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58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657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9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DDDDD"/>
                <w:bottom w:val="none" w:sz="0" w:space="0" w:color="auto"/>
                <w:right w:val="single" w:sz="6" w:space="15" w:color="DDDDDD"/>
              </w:divBdr>
              <w:divsChild>
                <w:div w:id="7707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5" w:color="999999"/>
                    <w:right w:val="none" w:sz="0" w:space="0" w:color="auto"/>
                  </w:divBdr>
                  <w:divsChild>
                    <w:div w:id="2886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11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dotted" w:sz="6" w:space="8" w:color="C9E0EE"/>
                            <w:left w:val="dotted" w:sz="6" w:space="8" w:color="C9E0EE"/>
                            <w:bottom w:val="dotted" w:sz="6" w:space="8" w:color="C9E0EE"/>
                            <w:right w:val="dotted" w:sz="6" w:space="8" w:color="C9E0EE"/>
                          </w:divBdr>
                          <w:divsChild>
                            <w:div w:id="17750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DDDDD"/>
                <w:bottom w:val="none" w:sz="0" w:space="0" w:color="auto"/>
                <w:right w:val="single" w:sz="6" w:space="15" w:color="DDDDDD"/>
              </w:divBdr>
              <w:divsChild>
                <w:div w:id="10475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5" w:color="999999"/>
                    <w:right w:val="none" w:sz="0" w:space="0" w:color="auto"/>
                  </w:divBdr>
                  <w:divsChild>
                    <w:div w:id="2140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792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dotted" w:sz="6" w:space="8" w:color="C9E0EE"/>
                            <w:left w:val="dotted" w:sz="6" w:space="8" w:color="C9E0EE"/>
                            <w:bottom w:val="dotted" w:sz="6" w:space="8" w:color="C9E0EE"/>
                            <w:right w:val="dotted" w:sz="6" w:space="8" w:color="C9E0EE"/>
                          </w:divBdr>
                          <w:divsChild>
                            <w:div w:id="20408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ms.cte.jhu.edu/olms2/data/ck/sites/1173/files/Revit_Stakeholder_engagement_200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ms.cte.jhu.edu/olms2/data/ck/sites/1173/files/Public%20Agenda_Stakeholder_Engagement_Wkshp_Toolkit_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ms.cte.jhu.edu/olms2/data/ck/sites/1173/files/Koppich_Stakeholder_Engagement_Communication_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1322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Education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Alexander</dc:creator>
  <cp:lastModifiedBy>Christine Alexander</cp:lastModifiedBy>
  <cp:revision>2</cp:revision>
  <dcterms:created xsi:type="dcterms:W3CDTF">2014-08-07T16:05:00Z</dcterms:created>
  <dcterms:modified xsi:type="dcterms:W3CDTF">2014-08-07T16:05:00Z</dcterms:modified>
</cp:coreProperties>
</file>